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widowControl/>
        <w:ind w:left="0" w:right="0" w:hanging="0"/>
        <w:jc w:val="center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Договор-оферта</w:t>
      </w:r>
    </w:p>
    <w:p>
      <w:pPr>
        <w:pStyle w:val="Style18"/>
        <w:widowControl/>
        <w:ind w:left="0" w:right="0" w:hanging="0"/>
        <w:jc w:val="center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 xml:space="preserve">на </w:t>
      </w: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 xml:space="preserve">оплату услуг 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г. Челябинск                                                            </w:t>
      </w:r>
    </w:p>
    <w:p>
      <w:pPr>
        <w:pStyle w:val="Style18"/>
        <w:widowControl/>
        <w:ind w:left="0" w:right="0" w:hanging="0"/>
        <w:rPr>
          <w:rStyle w:val="Style15"/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Style w:val="Style15"/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Общие положения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1.1. Данный договор является публичной офертой ООО Юридическое бюро «ПокровЪ», в дальнейшем именуемого Организатор и содержит все существенные условия по организации и проведению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консультирования в сфере медиаци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и, юридического, управленческого консалтинга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(в дальнейшем консультирования)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1.2. В случае принятия изложенных ниже условий и внесения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платежа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юридическое или физическое лицо, производящее акцепт этой Оферты, становится Участником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2. Предмет договора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2.1. Предметом настоящей Оферты является предоставление Участнику услуг по организации 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консультирования в сфере медиации, управленческого консалтинга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2.2. Организатор находится на УСН и не является плательщиком НДС в соответствии с п.2 ст. 346.11 Налогового Кодекса РФ.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2.3. Информация о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консультировании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размещена на сайте: </w:t>
      </w:r>
      <w:hyperlink r:id="rId2"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333333"/>
            <w:spacing w:val="0"/>
            <w:sz w:val="17"/>
          </w:rPr>
          <w:t>www.</w:t>
        </w:r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333333"/>
            <w:spacing w:val="0"/>
            <w:sz w:val="17"/>
          </w:rPr>
          <w:t>pokrov74</w:t>
        </w:r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333333"/>
            <w:spacing w:val="0"/>
            <w:sz w:val="17"/>
          </w:rPr>
          <w:t>.</w:t>
        </w:r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333333"/>
            <w:spacing w:val="0"/>
            <w:sz w:val="17"/>
          </w:rPr>
          <w:t>com</w:t>
        </w:r>
      </w:hyperlink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3. Условия и порядок проведения Ко</w:t>
      </w: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нсультации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3.1. Услуги по организации 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консультации проводятся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в полном объеме при условии их 100% (сто процентной) оплаты Участником.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3.2. Заявка на участие в мероприятии оформляется по форме:</w:t>
      </w:r>
      <w:hyperlink r:id="rId3"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333333"/>
            <w:spacing w:val="0"/>
            <w:sz w:val="17"/>
          </w:rPr>
          <w:t>http://pokrov74.com/registratsiya/</w:t>
        </w:r>
      </w:hyperlink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После оформления Заявки Участнику выписывается счет или выдаются реквизиты ,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а также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произвести оплату можно и через систему "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Робокасса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".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3.3. После заполнения Заявки Участник оплачивает участие в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получении консультации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по настоящему договору, по реквизитам, в соответствии с выбранным способом оплаты. В срок не позднее, чем 5 рабочих дней.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800000"/>
          <w:spacing w:val="0"/>
          <w:sz w:val="17"/>
        </w:rPr>
        <w:t xml:space="preserve">3.4. Настоящий договор имеет силу Акта об оказанных услугах,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услуги оказаны в полном объеме, стороны претензий друг к другу не имеют.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3.5. В случае отказа Участника от участия в Кон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за срок менее, чем за 10 (десять) календарных дней, денежные средства, оплаченные за участие в Кон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, считаются фактически понесенными расходами Организатора и не возвращаются.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4. Особые условия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4.1. Организатор оставляет за собой право вносить изменения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во время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и место проведения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консультацтии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,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предупредив об этом участника за три рабочих дня.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4.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2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. Участнику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запрещается осуществлять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видео, аудио  -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запись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консультации.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4.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3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. Организатор оставляет за собой право в любой момент вернуть денежные средства, уплаченные за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консультацию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, в полном объеме и отказать Участнику в участии в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о встрече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, либо отменить проведение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5. Цена договора и порядок расчетов.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5.1. Оплата за  участие в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консультации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составляет 1000  (одну тысячу) рублей 00 коп. с участием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физического лица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и  2500 рублей (две тысячи пятьсот) рублей 00 коп. с участием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в качестве юридического лица.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5.2. В случае, если денежные средства не поступят на расчетный счет Организатора до дня проведения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консультации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или их перечисление не будет подтверждено копией платежного поручения, или оплата не будет произведена непосредственно перед началом мероприятия,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консультация не будет проводиться.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6. Ответственность сторон.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6.1. В случае, если по какой-либо причине Организатор не проводит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консультацию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в срок, ответственность Организатора ограничивается исключительно проведением соответствующе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й консультации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в новые сроки.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6.2. Организатор не несет ответственности за то, каким образом Участник использовал полученную в ходе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консультационного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 обслуживания информацию и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за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результаты ее использования Участником.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7. Срок действия и изменения Договора-Оферты.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7.1. Договор вступает в силу с момента его заключения, выраженном в подаче Заявки на участие в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он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 xml:space="preserve">сультации 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(Акцепта Оферты) и действует до выполнения Сторонами своих обязательств.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7.2. Все споры и разногласия решаются путем переговоров Сторон.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7.3.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8. Форс-мажорные обстоятельства.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8.1. В случае возникновения обстоятельств непреодолимой силы (форс-мажорных обстоятельств), к которым относятся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 – они освобождаются от ответственности за неисполнение, взятых на себя обязательств, если в течение 10 (десяти) календарных дней с момента наступления таких обстоятельств и при наличии связи с такими обстоятельствами, Сторона, пострадавшая от их влияния, доведет до сведения другой стороны уведомление о наступлении/прекращении данных обстоятельств, а также предпримет все усилия для скорейшей ликвидации последствий форс-мажорных обстоятельств.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8.2. 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документальных подтверждений о масштабах происшедших событий, а также об их влиянии.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8.3. В случае не уведомления о форс-мажорных обстоятельствах другой Стороны, пострадавшая Сторона не вправе ссылаться на действие таких обстоятельств и обязана выполнять обязательства по настоящему Договору в срок и в полном объеме.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8.4. Обязательства по настоящему договору приостанавливаются на срок действия обстоятельств непреодолимой силы при условии выполнения требований, содержащихся в п.п. 8.1., 8.3. настоящего Договора.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/>
          <w:bCs/>
          <w:i w:val="false"/>
          <w:caps w:val="false"/>
          <w:smallCaps w:val="false"/>
          <w:color w:val="333333"/>
          <w:spacing w:val="0"/>
          <w:sz w:val="17"/>
        </w:rPr>
        <w:t>9. Реквизиты.</w:t>
      </w:r>
    </w:p>
    <w:p>
      <w:pPr>
        <w:pStyle w:val="Style18"/>
        <w:widowControl/>
        <w:ind w:left="0" w:right="0" w:hanging="0"/>
        <w:rPr>
          <w:rStyle w:val="Style15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Style w:val="Style15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Организатор</w:t>
      </w:r>
    </w:p>
    <w:p>
      <w:pPr>
        <w:pStyle w:val="Style18"/>
        <w:widowControl/>
        <w:ind w:left="0" w:right="0" w:hanging="0"/>
        <w:rPr>
          <w:rStyle w:val="Style15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Style w:val="Style15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ООО Юридическое бюро «ПокровЪ»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Адрес: 454021, Россия, г. Челябинск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ул. 40 лет Победы, д. 33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ИНН 7447071149 , КПП 74401001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р/с: №40702810405500000175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в ТОЧКА ПАО БАНКА "ФК ОТКРЫТИЕ" г. Москва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к/с 30101810845250000999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БИК 044525999</w:t>
      </w:r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+7 351 905 33 33</w:t>
      </w:r>
    </w:p>
    <w:p>
      <w:pPr>
        <w:pStyle w:val="Style18"/>
        <w:widowControl/>
        <w:ind w:left="0" w:right="0" w:hanging="0"/>
        <w:rPr>
          <w:rStyle w:val="Style16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0782C1"/>
          <w:spacing w:val="0"/>
          <w:sz w:val="17"/>
        </w:rPr>
      </w:pPr>
      <w:r>
        <w:rPr>
          <w:rStyle w:val="Style16"/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0782C1"/>
          <w:spacing w:val="0"/>
          <w:sz w:val="17"/>
        </w:rPr>
        <w:t>info</w:t>
      </w:r>
      <w:hyperlink r:id="rId4">
        <w:r>
          <w:rPr>
            <w:rStyle w:val="Style16"/>
            <w:rFonts w:ascii="sans-serif;Arial;Verdana;Trebuchet MS" w:hAnsi="sans-serif;Arial;Verdana;Trebuchet MS"/>
            <w:b w:val="false"/>
            <w:i w:val="false"/>
            <w:caps w:val="false"/>
            <w:smallCaps w:val="false"/>
            <w:color w:val="0782C1"/>
            <w:spacing w:val="0"/>
            <w:sz w:val="17"/>
          </w:rPr>
          <w:t>@pokrov74.com</w:t>
        </w:r>
      </w:hyperlink>
    </w:p>
    <w:p>
      <w:pPr>
        <w:pStyle w:val="Style18"/>
        <w:widowControl/>
        <w:ind w:left="0" w:right="0" w:hanging="0"/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www.</w:t>
      </w:r>
      <w:r>
        <w:rPr>
          <w:rFonts w:ascii="sans-serif;Arial;Verdana;Trebuchet MS" w:hAnsi="sans-serif;Arial;Verdana;Trebuchet MS"/>
          <w:b w:val="false"/>
          <w:i w:val="false"/>
          <w:caps w:val="false"/>
          <w:smallCaps w:val="false"/>
          <w:color w:val="333333"/>
          <w:spacing w:val="0"/>
          <w:sz w:val="17"/>
        </w:rPr>
        <w:t>pokrov74.com</w:t>
      </w:r>
    </w:p>
    <w:p>
      <w:pPr>
        <w:pStyle w:val="Style18"/>
        <w:widowControl/>
        <w:ind w:left="0" w:right="0" w:hanging="0"/>
        <w:rPr/>
      </w:pPr>
      <w:r>
        <w:rPr/>
      </w:r>
    </w:p>
    <w:p>
      <w:pPr>
        <w:pStyle w:val="Style18"/>
        <w:widowControl/>
        <w:ind w:left="0" w:right="0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 w:customStyle="1">
    <w:name w:val="Основной текст Знак"/>
    <w:semiHidden/>
    <w:link w:val="a4"/>
    <w:rsid w:val="002c0373"/>
    <w:basedOn w:val="DefaultParagraphFont"/>
    <w:rPr>
      <w:rFonts w:ascii="Times New Roman" w:hAnsi="Times New Roman" w:eastAsia="Lucida Sans Unicode" w:cs="Times New Roman"/>
      <w:sz w:val="24"/>
      <w:szCs w:val="24"/>
    </w:rPr>
  </w:style>
  <w:style w:type="character" w:styleId="Style15">
    <w:name w:val="Выделение жирным"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semiHidden/>
    <w:link w:val="a5"/>
    <w:rsid w:val="002c0373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48fd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krov74.com/" TargetMode="External"/><Relationship Id="rId3" Type="http://schemas.openxmlformats.org/officeDocument/2006/relationships/hyperlink" Target="http://pokrov74.com/registratsiya/" TargetMode="External"/><Relationship Id="rId4" Type="http://schemas.openxmlformats.org/officeDocument/2006/relationships/hyperlink" Target="mailto:conference@pokrov74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2016-05-23T14:18:00Z</dcterms:created>
  <dc:creator>Татьяна Еремеева</dc:creator>
  <dc:language>ru-RU</dc:language>
  <cp:lastModifiedBy>Татьяна Еремеева</cp:lastModifiedBy>
  <dcterms:modified xsi:type="dcterms:W3CDTF">2016-05-23T15:52:00Z</dcterms:modified>
  <cp:revision>2</cp:revision>
</cp:coreProperties>
</file>